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FC" w:rsidRPr="00655825" w:rsidRDefault="00655825" w:rsidP="00E53EFC">
      <w:pPr>
        <w:pStyle w:val="Header"/>
        <w:tabs>
          <w:tab w:val="right" w:pos="3060"/>
        </w:tabs>
        <w:ind w:left="1260"/>
        <w:rPr>
          <w:rFonts w:ascii="Candara" w:hAnsi="Candara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C0292F" wp14:editId="5EF8C7E3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D83">
        <w:rPr>
          <w:rFonts w:ascii="Candara" w:hAnsi="Candara"/>
          <w:noProof/>
          <w:color w:val="008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DF40ED" wp14:editId="09CAA429">
            <wp:simplePos x="0" y="0"/>
            <wp:positionH relativeFrom="column">
              <wp:posOffset>-228600</wp:posOffset>
            </wp:positionH>
            <wp:positionV relativeFrom="paragraph">
              <wp:posOffset>-57150</wp:posOffset>
            </wp:positionV>
            <wp:extent cx="932798" cy="1133475"/>
            <wp:effectExtent l="0" t="0" r="0" b="0"/>
            <wp:wrapNone/>
            <wp:docPr id="1" name="Picture 1" descr="C:\Users\rayna.maguire\AppData\Local\Temp\Temp1_RI_DEM_File_Package_V3 (1).zip\RI_DEM_File_Package_V3\RI_DEM_Crest_No_Text\Color_on_White\RI_DEM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na.maguire\AppData\Local\Temp\Temp1_RI_DEM_File_Package_V3 (1).zip\RI_DEM_File_Package_V3\RI_DEM_Crest_No_Text\Color_on_White\RI_DEM_Cres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9" cy="11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FC" w:rsidRPr="008A3D83">
        <w:rPr>
          <w:rFonts w:ascii="Candara" w:hAnsi="Candara"/>
          <w:b/>
          <w:color w:val="0070C0"/>
          <w:sz w:val="32"/>
          <w:szCs w:val="32"/>
        </w:rPr>
        <w:t>R</w:t>
      </w:r>
      <w:r w:rsidR="00E53EFC" w:rsidRPr="00655825">
        <w:rPr>
          <w:rFonts w:ascii="Candara" w:hAnsi="Candara"/>
          <w:b/>
          <w:smallCaps/>
          <w:color w:val="0070C0"/>
          <w:sz w:val="28"/>
          <w:szCs w:val="28"/>
        </w:rPr>
        <w:t>HODE</w:t>
      </w:r>
      <w:r w:rsidR="00E53EFC" w:rsidRPr="00655825">
        <w:rPr>
          <w:rFonts w:ascii="Candara" w:hAnsi="Candara"/>
          <w:b/>
          <w:color w:val="0070C0"/>
          <w:sz w:val="28"/>
          <w:szCs w:val="28"/>
        </w:rPr>
        <w:t xml:space="preserve"> I</w:t>
      </w:r>
      <w:r w:rsidR="00E53EFC" w:rsidRPr="00655825">
        <w:rPr>
          <w:rFonts w:ascii="Candara" w:hAnsi="Candara"/>
          <w:b/>
          <w:smallCaps/>
          <w:color w:val="0070C0"/>
          <w:sz w:val="28"/>
          <w:szCs w:val="28"/>
        </w:rPr>
        <w:t>SLAND</w:t>
      </w:r>
    </w:p>
    <w:p w:rsidR="00E53EFC" w:rsidRPr="00655825" w:rsidRDefault="00E53EFC" w:rsidP="00E53EFC">
      <w:pPr>
        <w:pStyle w:val="Header"/>
        <w:spacing w:after="120"/>
        <w:ind w:left="1260"/>
        <w:rPr>
          <w:rFonts w:ascii="Candara" w:hAnsi="Candara"/>
          <w:b/>
          <w:smallCaps/>
          <w:color w:val="0070C0"/>
          <w:sz w:val="28"/>
          <w:szCs w:val="28"/>
        </w:rPr>
      </w:pPr>
      <w:r w:rsidRPr="00655825">
        <w:rPr>
          <w:rFonts w:ascii="Candara" w:hAnsi="Candara"/>
          <w:b/>
          <w:color w:val="0070C0"/>
          <w:sz w:val="28"/>
          <w:szCs w:val="28"/>
        </w:rPr>
        <w:t>D</w:t>
      </w:r>
      <w:r w:rsidRPr="00655825">
        <w:rPr>
          <w:rFonts w:ascii="Candara" w:hAnsi="Candara"/>
          <w:b/>
          <w:smallCaps/>
          <w:color w:val="0070C0"/>
          <w:sz w:val="28"/>
          <w:szCs w:val="28"/>
        </w:rPr>
        <w:t>epartment of Environmental Management</w:t>
      </w:r>
    </w:p>
    <w:p w:rsidR="00E53EFC" w:rsidRDefault="002432A4" w:rsidP="0075109E">
      <w:pPr>
        <w:pStyle w:val="Header"/>
        <w:ind w:left="1267"/>
        <w:rPr>
          <w:rFonts w:ascii="Candara" w:hAnsi="Candara"/>
          <w:color w:val="0070C0"/>
          <w:sz w:val="24"/>
          <w:szCs w:val="28"/>
        </w:rPr>
      </w:pPr>
      <w:r>
        <w:rPr>
          <w:rFonts w:ascii="Candara" w:hAnsi="Candara"/>
          <w:b/>
          <w:smallCaps/>
          <w:color w:val="0070C0"/>
          <w:sz w:val="28"/>
          <w:szCs w:val="28"/>
        </w:rPr>
        <w:t>Office</w:t>
      </w:r>
      <w:r w:rsidR="00AE665A">
        <w:rPr>
          <w:rFonts w:ascii="Candara" w:hAnsi="Candara"/>
          <w:b/>
          <w:smallCaps/>
          <w:color w:val="0070C0"/>
          <w:sz w:val="28"/>
          <w:szCs w:val="28"/>
        </w:rPr>
        <w:t xml:space="preserve"> of </w:t>
      </w:r>
      <w:r w:rsidR="00FD0CE5">
        <w:rPr>
          <w:rFonts w:ascii="Candara" w:hAnsi="Candara"/>
          <w:b/>
          <w:smallCaps/>
          <w:color w:val="0070C0"/>
          <w:sz w:val="28"/>
          <w:szCs w:val="28"/>
        </w:rPr>
        <w:t>Waste Management</w:t>
      </w:r>
      <w:r w:rsidR="00E53EFC" w:rsidRPr="00885E57">
        <w:rPr>
          <w:rFonts w:ascii="Candara" w:hAnsi="Candara"/>
          <w:b/>
          <w:smallCaps/>
          <w:color w:val="0070C0"/>
          <w:sz w:val="28"/>
          <w:szCs w:val="28"/>
        </w:rPr>
        <w:br/>
      </w:r>
      <w:r w:rsidR="00E53EFC" w:rsidRPr="00885E57">
        <w:rPr>
          <w:rFonts w:ascii="Candara" w:hAnsi="Candara"/>
          <w:color w:val="0070C0"/>
          <w:sz w:val="24"/>
          <w:szCs w:val="28"/>
        </w:rPr>
        <w:t xml:space="preserve">235 Promenade Street, Room </w:t>
      </w:r>
      <w:r w:rsidR="00FD0CE5">
        <w:rPr>
          <w:rFonts w:ascii="Candara" w:hAnsi="Candara"/>
          <w:color w:val="0070C0"/>
          <w:sz w:val="24"/>
          <w:szCs w:val="28"/>
        </w:rPr>
        <w:t>380</w:t>
      </w:r>
      <w:r w:rsidR="00E53EFC" w:rsidRPr="00885E57">
        <w:rPr>
          <w:rFonts w:ascii="Candara" w:hAnsi="Candara"/>
          <w:b/>
          <w:smallCaps/>
          <w:color w:val="0070C0"/>
          <w:sz w:val="24"/>
          <w:szCs w:val="28"/>
        </w:rPr>
        <w:br/>
      </w:r>
      <w:r w:rsidR="00E53EFC" w:rsidRPr="00885E57">
        <w:rPr>
          <w:rFonts w:ascii="Candara" w:hAnsi="Candara"/>
          <w:color w:val="0070C0"/>
          <w:sz w:val="24"/>
          <w:szCs w:val="28"/>
        </w:rPr>
        <w:t xml:space="preserve">Providence, Rhode Island 02908 </w:t>
      </w:r>
    </w:p>
    <w:p w:rsidR="00DC14C6" w:rsidRDefault="00DC14C6" w:rsidP="00DC14C6">
      <w:pPr>
        <w:pStyle w:val="Header"/>
        <w:rPr>
          <w:rFonts w:ascii="Candara" w:hAnsi="Candara"/>
          <w:b/>
          <w:smallCaps/>
          <w:color w:val="0070C0"/>
          <w:sz w:val="24"/>
          <w:szCs w:val="28"/>
        </w:rPr>
      </w:pPr>
    </w:p>
    <w:p w:rsidR="00DB596F" w:rsidRDefault="00655825" w:rsidP="005A73B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3BD" w:rsidRDefault="005A73BD" w:rsidP="00DC14C6">
      <w:pPr>
        <w:pStyle w:val="Header"/>
        <w:rPr>
          <w:color w:val="0070C0"/>
          <w:sz w:val="24"/>
          <w:szCs w:val="24"/>
        </w:rPr>
      </w:pPr>
    </w:p>
    <w:p w:rsidR="005A73BD" w:rsidRDefault="005A73BD" w:rsidP="00DC14C6">
      <w:pPr>
        <w:pStyle w:val="Head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August 23, 2018</w:t>
      </w:r>
    </w:p>
    <w:p w:rsidR="005A73BD" w:rsidRDefault="005A73BD" w:rsidP="00DC14C6">
      <w:pPr>
        <w:pStyle w:val="Header"/>
        <w:rPr>
          <w:color w:val="0070C0"/>
          <w:sz w:val="24"/>
          <w:szCs w:val="24"/>
        </w:rPr>
      </w:pPr>
    </w:p>
    <w:p w:rsidR="00477D33" w:rsidRDefault="00477D33" w:rsidP="00DC14C6">
      <w:pPr>
        <w:pStyle w:val="Header"/>
        <w:rPr>
          <w:sz w:val="24"/>
          <w:szCs w:val="24"/>
        </w:rPr>
      </w:pPr>
    </w:p>
    <w:p w:rsidR="00905C45" w:rsidRPr="00EC2040" w:rsidRDefault="008C5309" w:rsidP="00905C45">
      <w:pPr>
        <w:pStyle w:val="Head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2019</w:t>
      </w:r>
      <w:r w:rsidR="00905C45" w:rsidRPr="00EC2040">
        <w:rPr>
          <w:color w:val="0070C0"/>
          <w:sz w:val="24"/>
          <w:szCs w:val="24"/>
        </w:rPr>
        <w:t xml:space="preserve"> Brand Allotment Assignments</w:t>
      </w:r>
    </w:p>
    <w:p w:rsidR="00905C45" w:rsidRDefault="00905C45" w:rsidP="00DC14C6">
      <w:pPr>
        <w:pStyle w:val="Header"/>
        <w:rPr>
          <w:sz w:val="24"/>
          <w:szCs w:val="24"/>
        </w:rPr>
      </w:pPr>
    </w:p>
    <w:p w:rsidR="00905C45" w:rsidRPr="0031095F" w:rsidRDefault="00905C45" w:rsidP="00905C45">
      <w:pPr>
        <w:rPr>
          <w:sz w:val="24"/>
          <w:szCs w:val="24"/>
        </w:rPr>
      </w:pPr>
      <w:r>
        <w:rPr>
          <w:sz w:val="24"/>
          <w:szCs w:val="24"/>
        </w:rPr>
        <w:t>The Rhode Island Department of Environmental Management (RIDEM) together with the Rhode Island Resource Corporation (RIRRC) have finalized a</w:t>
      </w:r>
      <w:r w:rsidRPr="0031095F">
        <w:rPr>
          <w:sz w:val="24"/>
          <w:szCs w:val="24"/>
        </w:rPr>
        <w:t>ll computer equipment return share and television market share</w:t>
      </w:r>
      <w:r>
        <w:rPr>
          <w:sz w:val="24"/>
          <w:szCs w:val="24"/>
        </w:rPr>
        <w:t>s.  The final allotments</w:t>
      </w:r>
      <w:r w:rsidRPr="0031095F">
        <w:rPr>
          <w:sz w:val="24"/>
          <w:szCs w:val="24"/>
        </w:rPr>
        <w:t xml:space="preserve"> by weight can be found at </w:t>
      </w:r>
      <w:hyperlink r:id="rId10" w:history="1">
        <w:r w:rsidRPr="0031095F">
          <w:rPr>
            <w:rStyle w:val="Hyperlink"/>
            <w:sz w:val="24"/>
            <w:szCs w:val="24"/>
          </w:rPr>
          <w:t>http://rirrc.org/questions/e-waste/</w:t>
        </w:r>
      </w:hyperlink>
      <w:r w:rsidRPr="0031095F">
        <w:rPr>
          <w:sz w:val="24"/>
          <w:szCs w:val="24"/>
        </w:rPr>
        <w:t xml:space="preserve"> by downl</w:t>
      </w:r>
      <w:r w:rsidR="008C5309">
        <w:rPr>
          <w:sz w:val="24"/>
          <w:szCs w:val="24"/>
        </w:rPr>
        <w:t>oading the ‘2019</w:t>
      </w:r>
      <w:r w:rsidRPr="0031095F">
        <w:rPr>
          <w:sz w:val="24"/>
          <w:szCs w:val="24"/>
        </w:rPr>
        <w:t xml:space="preserve"> Manufacturer’s Shares – FINAL’ file.</w:t>
      </w:r>
    </w:p>
    <w:p w:rsidR="00905C45" w:rsidRDefault="00905C45" w:rsidP="00DC14C6">
      <w:pPr>
        <w:pStyle w:val="Header"/>
        <w:rPr>
          <w:sz w:val="24"/>
          <w:szCs w:val="24"/>
        </w:rPr>
      </w:pPr>
    </w:p>
    <w:p w:rsidR="00905C45" w:rsidRPr="0042413A" w:rsidRDefault="00905C45" w:rsidP="00905C45">
      <w:pPr>
        <w:rPr>
          <w:sz w:val="24"/>
          <w:szCs w:val="24"/>
        </w:rPr>
      </w:pPr>
      <w:r>
        <w:rPr>
          <w:sz w:val="24"/>
          <w:szCs w:val="24"/>
        </w:rPr>
        <w:t>The shares were calculated and approved p</w:t>
      </w:r>
      <w:r w:rsidRPr="00CD4538">
        <w:rPr>
          <w:sz w:val="24"/>
          <w:szCs w:val="24"/>
        </w:rPr>
        <w:t xml:space="preserve">ursuant to Rhode Island Electronic Waste Prevention, Reuse and Recycling </w:t>
      </w:r>
      <w:r>
        <w:rPr>
          <w:sz w:val="24"/>
          <w:szCs w:val="24"/>
        </w:rPr>
        <w:t>Act (R.I. General Law 23-24.10)</w:t>
      </w:r>
      <w:r w:rsidR="001E4BB6">
        <w:rPr>
          <w:sz w:val="24"/>
          <w:szCs w:val="24"/>
        </w:rPr>
        <w:t xml:space="preserve"> </w:t>
      </w:r>
      <w:hyperlink r:id="rId11" w:history="1">
        <w:r w:rsidR="00CE677C" w:rsidRPr="00ED2212">
          <w:rPr>
            <w:rStyle w:val="Hyperlink"/>
            <w:sz w:val="24"/>
            <w:szCs w:val="24"/>
          </w:rPr>
          <w:t>http://webserver.rilin.state.ri.us/Statutes/TITLE23/23-24.10/INDEX.HTM</w:t>
        </w:r>
      </w:hyperlink>
      <w:r w:rsidR="00CE677C">
        <w:rPr>
          <w:sz w:val="24"/>
          <w:szCs w:val="24"/>
        </w:rPr>
        <w:t xml:space="preserve"> </w:t>
      </w:r>
      <w:r w:rsidRPr="00CD4538">
        <w:rPr>
          <w:sz w:val="24"/>
          <w:szCs w:val="24"/>
        </w:rPr>
        <w:t>.</w:t>
      </w:r>
      <w:r>
        <w:t xml:space="preserve"> </w:t>
      </w:r>
      <w:r w:rsidRPr="0042413A">
        <w:rPr>
          <w:sz w:val="24"/>
          <w:szCs w:val="24"/>
        </w:rPr>
        <w:t>The Rhode Island sta</w:t>
      </w:r>
      <w:r w:rsidR="008C5309">
        <w:rPr>
          <w:sz w:val="24"/>
          <w:szCs w:val="24"/>
        </w:rPr>
        <w:t>tewide recycling target for 2019</w:t>
      </w:r>
      <w:r>
        <w:rPr>
          <w:sz w:val="24"/>
          <w:szCs w:val="24"/>
        </w:rPr>
        <w:t xml:space="preserve"> is based on 5.</w:t>
      </w:r>
      <w:r w:rsidR="008C5309">
        <w:rPr>
          <w:sz w:val="24"/>
          <w:szCs w:val="24"/>
        </w:rPr>
        <w:t>5 pounds per person and the 2017 census population of 1,059,639</w:t>
      </w:r>
      <w:r w:rsidRPr="0042413A">
        <w:rPr>
          <w:sz w:val="24"/>
          <w:szCs w:val="24"/>
        </w:rPr>
        <w:t xml:space="preserve"> person</w:t>
      </w:r>
      <w:r w:rsidR="00FD6424">
        <w:rPr>
          <w:sz w:val="24"/>
          <w:szCs w:val="24"/>
        </w:rPr>
        <w:t>s. The total target of 5,828,015</w:t>
      </w:r>
      <w:r w:rsidRPr="0042413A">
        <w:rPr>
          <w:sz w:val="24"/>
          <w:szCs w:val="24"/>
        </w:rPr>
        <w:t xml:space="preserve"> pounds is allocated between </w:t>
      </w:r>
      <w:r w:rsidR="008C5309">
        <w:rPr>
          <w:sz w:val="24"/>
          <w:szCs w:val="24"/>
        </w:rPr>
        <w:t>computer equipment (11.25%) and televisions (88.75</w:t>
      </w:r>
      <w:r w:rsidRPr="0042413A">
        <w:rPr>
          <w:sz w:val="24"/>
          <w:szCs w:val="24"/>
        </w:rPr>
        <w:t xml:space="preserve">%) based on the percentages from the state-run program </w:t>
      </w:r>
      <w:r w:rsidR="008C5309">
        <w:rPr>
          <w:sz w:val="24"/>
          <w:szCs w:val="24"/>
        </w:rPr>
        <w:t>for quantities collected in 2017</w:t>
      </w:r>
      <w:r w:rsidRPr="0042413A">
        <w:rPr>
          <w:sz w:val="24"/>
          <w:szCs w:val="24"/>
        </w:rPr>
        <w:t>. Likewise, the computer equipment brand returns were obtained from a 100% brand sample of the state-ru</w:t>
      </w:r>
      <w:r>
        <w:rPr>
          <w:sz w:val="24"/>
          <w:szCs w:val="24"/>
        </w:rPr>
        <w:t>n collection program during 201</w:t>
      </w:r>
      <w:r w:rsidR="008B4921" w:rsidRPr="008B4921">
        <w:rPr>
          <w:sz w:val="24"/>
          <w:szCs w:val="24"/>
        </w:rPr>
        <w:t>7</w:t>
      </w:r>
      <w:r w:rsidRPr="0042413A">
        <w:rPr>
          <w:sz w:val="24"/>
          <w:szCs w:val="24"/>
        </w:rPr>
        <w:t xml:space="preserve"> and used to allocate computer returns share among brands. While the television market-share data for the 12</w:t>
      </w:r>
      <w:r w:rsidR="00FD6424">
        <w:rPr>
          <w:sz w:val="24"/>
          <w:szCs w:val="24"/>
        </w:rPr>
        <w:t xml:space="preserve"> months ending December 31, 2017</w:t>
      </w:r>
      <w:r w:rsidRPr="0042413A">
        <w:rPr>
          <w:sz w:val="24"/>
          <w:szCs w:val="24"/>
        </w:rPr>
        <w:t>, obtained from the Electronics Recycling Coordination Clearinghouse, was utilized to allocate television collection shares.</w:t>
      </w:r>
    </w:p>
    <w:p w:rsidR="00905C45" w:rsidRDefault="00905C45" w:rsidP="00DC14C6">
      <w:pPr>
        <w:pStyle w:val="Header"/>
        <w:rPr>
          <w:sz w:val="24"/>
          <w:szCs w:val="24"/>
        </w:rPr>
      </w:pPr>
    </w:p>
    <w:p w:rsidR="00905C45" w:rsidRPr="0031095F" w:rsidRDefault="00905C45" w:rsidP="00905C45">
      <w:pPr>
        <w:rPr>
          <w:sz w:val="24"/>
          <w:szCs w:val="24"/>
        </w:rPr>
      </w:pPr>
      <w:r w:rsidRPr="0031095F">
        <w:rPr>
          <w:sz w:val="24"/>
          <w:szCs w:val="24"/>
        </w:rPr>
        <w:t>RIRRC has requested that the state-run program cost per pound be b</w:t>
      </w:r>
      <w:r>
        <w:rPr>
          <w:sz w:val="24"/>
          <w:szCs w:val="24"/>
        </w:rPr>
        <w:t>illed at $0.30 per pound in 201</w:t>
      </w:r>
      <w:r w:rsidR="008B4921" w:rsidRPr="008B4921">
        <w:rPr>
          <w:sz w:val="24"/>
          <w:szCs w:val="24"/>
        </w:rPr>
        <w:t>9</w:t>
      </w:r>
      <w:r w:rsidRPr="008B4921">
        <w:rPr>
          <w:sz w:val="24"/>
          <w:szCs w:val="24"/>
        </w:rPr>
        <w:t>.</w:t>
      </w:r>
      <w:r w:rsidRPr="0031095F">
        <w:rPr>
          <w:sz w:val="24"/>
          <w:szCs w:val="24"/>
        </w:rPr>
        <w:t xml:space="preserve"> </w:t>
      </w:r>
    </w:p>
    <w:p w:rsidR="00905C45" w:rsidRDefault="00905C45" w:rsidP="00DC14C6">
      <w:pPr>
        <w:pStyle w:val="Header"/>
        <w:rPr>
          <w:sz w:val="24"/>
          <w:szCs w:val="24"/>
        </w:rPr>
      </w:pPr>
    </w:p>
    <w:p w:rsidR="004A3267" w:rsidRPr="00EC2040" w:rsidRDefault="004A3267" w:rsidP="00DC14C6">
      <w:pPr>
        <w:pStyle w:val="Header"/>
        <w:rPr>
          <w:color w:val="0070C0"/>
          <w:sz w:val="24"/>
          <w:szCs w:val="24"/>
        </w:rPr>
      </w:pPr>
      <w:r w:rsidRPr="00EC2040">
        <w:rPr>
          <w:color w:val="0070C0"/>
          <w:sz w:val="24"/>
          <w:szCs w:val="24"/>
        </w:rPr>
        <w:t>Legislative Changes</w:t>
      </w:r>
    </w:p>
    <w:p w:rsidR="004A3267" w:rsidRDefault="004A3267" w:rsidP="00DC14C6">
      <w:pPr>
        <w:pStyle w:val="Header"/>
        <w:rPr>
          <w:sz w:val="24"/>
          <w:szCs w:val="24"/>
        </w:rPr>
      </w:pPr>
    </w:p>
    <w:p w:rsidR="00477D33" w:rsidRDefault="00905C45" w:rsidP="00DC14C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A bill to revise the </w:t>
      </w:r>
      <w:r w:rsidRPr="00CD4538">
        <w:rPr>
          <w:sz w:val="24"/>
          <w:szCs w:val="24"/>
        </w:rPr>
        <w:t xml:space="preserve">Rhode Island Electronic Waste Prevention, Reuse and Recycling </w:t>
      </w:r>
      <w:r>
        <w:rPr>
          <w:sz w:val="24"/>
          <w:szCs w:val="24"/>
        </w:rPr>
        <w:t>Act</w:t>
      </w:r>
      <w:r w:rsidR="001E4BB6">
        <w:rPr>
          <w:sz w:val="24"/>
          <w:szCs w:val="24"/>
        </w:rPr>
        <w:t xml:space="preserve"> </w:t>
      </w:r>
      <w:r w:rsidR="00FD6424">
        <w:rPr>
          <w:sz w:val="24"/>
          <w:szCs w:val="24"/>
        </w:rPr>
        <w:t>has been signed into law</w:t>
      </w:r>
      <w:r w:rsidR="00B70147">
        <w:rPr>
          <w:sz w:val="24"/>
          <w:szCs w:val="24"/>
        </w:rPr>
        <w:t>:</w:t>
      </w:r>
    </w:p>
    <w:p w:rsidR="00B70147" w:rsidRDefault="00B70147" w:rsidP="00DC14C6">
      <w:pPr>
        <w:pStyle w:val="Header"/>
        <w:rPr>
          <w:sz w:val="24"/>
          <w:szCs w:val="24"/>
        </w:rPr>
      </w:pPr>
    </w:p>
    <w:p w:rsidR="00B70147" w:rsidRDefault="00B70147" w:rsidP="00B70147">
      <w:pPr>
        <w:pStyle w:val="Head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date for registration and plan submittal has been moved up from December 15</w:t>
      </w:r>
      <w:r w:rsidRPr="00B70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October 15</w:t>
      </w:r>
      <w:r w:rsidRPr="00B701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under the new law. </w:t>
      </w:r>
    </w:p>
    <w:p w:rsidR="00B70147" w:rsidRDefault="00B70147" w:rsidP="00B70147">
      <w:pPr>
        <w:pStyle w:val="Header"/>
        <w:ind w:left="720"/>
        <w:rPr>
          <w:sz w:val="24"/>
          <w:szCs w:val="24"/>
        </w:rPr>
      </w:pPr>
    </w:p>
    <w:p w:rsidR="00B70147" w:rsidRDefault="00B70147" w:rsidP="00B70147">
      <w:pPr>
        <w:pStyle w:val="Head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Beginning with calendar year 2017, </w:t>
      </w:r>
      <w:r w:rsidR="00AC7930">
        <w:rPr>
          <w:sz w:val="24"/>
          <w:szCs w:val="24"/>
        </w:rPr>
        <w:t xml:space="preserve">manufactures may carry over a credit (or deficit) of 10% of their allotment to the following year.  </w:t>
      </w:r>
      <w:r w:rsidR="00F63005">
        <w:rPr>
          <w:sz w:val="24"/>
          <w:szCs w:val="24"/>
        </w:rPr>
        <w:t>If you collect an amount under 90% of your allotment, you will be required to purchase the difference between your amount and 90% of the allotment from the State at a rate of $0.33/lb. Anything above 10% over your allotment is forfeit or may be sold to another collector. All sales must be documented</w:t>
      </w:r>
      <w:r w:rsidR="00FD6424">
        <w:rPr>
          <w:sz w:val="24"/>
          <w:szCs w:val="24"/>
        </w:rPr>
        <w:t xml:space="preserve"> on a template provided by the Department or they will not be counted</w:t>
      </w:r>
      <w:r w:rsidR="00F63005">
        <w:rPr>
          <w:sz w:val="24"/>
          <w:szCs w:val="24"/>
        </w:rPr>
        <w:t xml:space="preserve">. </w:t>
      </w:r>
    </w:p>
    <w:p w:rsidR="004A3267" w:rsidRDefault="004A3267" w:rsidP="004A3267">
      <w:pPr>
        <w:pStyle w:val="ListParagraph"/>
      </w:pPr>
    </w:p>
    <w:p w:rsidR="004A3267" w:rsidRDefault="004A3267" w:rsidP="00B70147">
      <w:pPr>
        <w:pStyle w:val="Head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Manufacturers with less than 5% of the Market</w:t>
      </w:r>
      <w:r w:rsidR="00FD6424">
        <w:rPr>
          <w:sz w:val="24"/>
          <w:szCs w:val="24"/>
        </w:rPr>
        <w:t xml:space="preserve"> or Return</w:t>
      </w:r>
      <w:r>
        <w:rPr>
          <w:sz w:val="24"/>
          <w:szCs w:val="24"/>
        </w:rPr>
        <w:t xml:space="preserve"> Share </w:t>
      </w:r>
      <w:r w:rsidR="00AC7930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automatically </w:t>
      </w:r>
      <w:r w:rsidR="00AC7930">
        <w:rPr>
          <w:sz w:val="24"/>
          <w:szCs w:val="24"/>
        </w:rPr>
        <w:t xml:space="preserve">be assigned to the </w:t>
      </w:r>
      <w:r>
        <w:rPr>
          <w:sz w:val="24"/>
          <w:szCs w:val="24"/>
        </w:rPr>
        <w:t>State Program.</w:t>
      </w:r>
    </w:p>
    <w:p w:rsidR="004A3267" w:rsidRDefault="004A3267" w:rsidP="004A3267">
      <w:pPr>
        <w:pStyle w:val="ListParagraph"/>
      </w:pPr>
    </w:p>
    <w:p w:rsidR="004A3267" w:rsidRDefault="004A3267" w:rsidP="00B70147">
      <w:pPr>
        <w:pStyle w:val="Header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Quarterly reporting on a template provided by the DEM is mandatory</w:t>
      </w:r>
      <w:r w:rsidR="00FD6424">
        <w:rPr>
          <w:sz w:val="24"/>
          <w:szCs w:val="24"/>
        </w:rPr>
        <w:t xml:space="preserve"> unless you are in the State Program</w:t>
      </w:r>
      <w:r>
        <w:rPr>
          <w:sz w:val="24"/>
          <w:szCs w:val="24"/>
        </w:rPr>
        <w:t>.</w:t>
      </w:r>
    </w:p>
    <w:p w:rsidR="004A3267" w:rsidRDefault="004A3267" w:rsidP="004A3267">
      <w:pPr>
        <w:pStyle w:val="ListParagraph"/>
      </w:pPr>
    </w:p>
    <w:p w:rsidR="00CD4538" w:rsidRPr="00CD4538" w:rsidRDefault="00CD4538" w:rsidP="00CD4538">
      <w:pPr>
        <w:rPr>
          <w:sz w:val="24"/>
          <w:szCs w:val="24"/>
        </w:rPr>
      </w:pPr>
      <w:r w:rsidRPr="00CD4538">
        <w:rPr>
          <w:sz w:val="24"/>
          <w:szCs w:val="24"/>
        </w:rPr>
        <w:t>If you have any questions or comments regarding this notice or the basis of the share calculations, contact</w:t>
      </w:r>
      <w:r w:rsidR="00E16AC5">
        <w:rPr>
          <w:sz w:val="24"/>
          <w:szCs w:val="24"/>
        </w:rPr>
        <w:t xml:space="preserve"> RIRRC,</w:t>
      </w:r>
      <w:r w:rsidRPr="00CD4538">
        <w:rPr>
          <w:sz w:val="24"/>
          <w:szCs w:val="24"/>
        </w:rPr>
        <w:t xml:space="preserve"> </w:t>
      </w:r>
      <w:r w:rsidR="00E16AC5">
        <w:rPr>
          <w:sz w:val="24"/>
          <w:szCs w:val="24"/>
        </w:rPr>
        <w:t>Dean Huff</w:t>
      </w:r>
      <w:r w:rsidRPr="00CD4538">
        <w:rPr>
          <w:sz w:val="24"/>
          <w:szCs w:val="24"/>
        </w:rPr>
        <w:t xml:space="preserve"> at 401-942-1430 or by email at </w:t>
      </w:r>
      <w:hyperlink r:id="rId12" w:history="1">
        <w:r w:rsidRPr="00CD4538">
          <w:rPr>
            <w:rStyle w:val="Hyperlink"/>
            <w:sz w:val="24"/>
            <w:szCs w:val="24"/>
          </w:rPr>
          <w:t>dhuff@rirrc.org</w:t>
        </w:r>
      </w:hyperlink>
      <w:r w:rsidRPr="00CD4538">
        <w:rPr>
          <w:sz w:val="24"/>
          <w:szCs w:val="24"/>
        </w:rPr>
        <w:t>. If you have questions regarding the Rhode Island Electronics Waste Preventio</w:t>
      </w:r>
      <w:r w:rsidR="00BF7677">
        <w:rPr>
          <w:sz w:val="24"/>
          <w:szCs w:val="24"/>
        </w:rPr>
        <w:t xml:space="preserve">n, Re-Use and Recycling Act, </w:t>
      </w:r>
      <w:r w:rsidRPr="00CD4538">
        <w:rPr>
          <w:sz w:val="24"/>
          <w:szCs w:val="24"/>
        </w:rPr>
        <w:t>the registration process,</w:t>
      </w:r>
      <w:r w:rsidR="00BF7677">
        <w:rPr>
          <w:sz w:val="24"/>
          <w:szCs w:val="24"/>
        </w:rPr>
        <w:t xml:space="preserve"> or creating a recycling plan,</w:t>
      </w:r>
      <w:r w:rsidRPr="00CD4538">
        <w:rPr>
          <w:sz w:val="24"/>
          <w:szCs w:val="24"/>
        </w:rPr>
        <w:t xml:space="preserve"> please contact</w:t>
      </w:r>
      <w:r w:rsidR="00E16AC5">
        <w:rPr>
          <w:sz w:val="24"/>
          <w:szCs w:val="24"/>
        </w:rPr>
        <w:t xml:space="preserve"> RI DEM,</w:t>
      </w:r>
      <w:r w:rsidRPr="00CD4538">
        <w:rPr>
          <w:sz w:val="24"/>
          <w:szCs w:val="24"/>
        </w:rPr>
        <w:t xml:space="preserve"> Alyson Brunelli</w:t>
      </w:r>
      <w:r w:rsidR="00E16AC5">
        <w:rPr>
          <w:sz w:val="24"/>
          <w:szCs w:val="24"/>
        </w:rPr>
        <w:t xml:space="preserve"> at 401 222-2797</w:t>
      </w:r>
      <w:r w:rsidRPr="00CD4538">
        <w:rPr>
          <w:sz w:val="24"/>
          <w:szCs w:val="24"/>
        </w:rPr>
        <w:t xml:space="preserve">, </w:t>
      </w:r>
      <w:r w:rsidR="00E16AC5">
        <w:rPr>
          <w:sz w:val="24"/>
          <w:szCs w:val="24"/>
        </w:rPr>
        <w:t>or</w:t>
      </w:r>
      <w:r w:rsidRPr="00CD4538">
        <w:rPr>
          <w:sz w:val="24"/>
          <w:szCs w:val="24"/>
        </w:rPr>
        <w:t xml:space="preserve"> via email at </w:t>
      </w:r>
      <w:hyperlink r:id="rId13" w:history="1">
        <w:r w:rsidRPr="00CD4538">
          <w:rPr>
            <w:rStyle w:val="Hyperlink"/>
            <w:sz w:val="24"/>
            <w:szCs w:val="24"/>
          </w:rPr>
          <w:t>alyson.brunelli@dem.ri.gov</w:t>
        </w:r>
      </w:hyperlink>
      <w:r w:rsidRPr="00CD4538">
        <w:rPr>
          <w:sz w:val="24"/>
          <w:szCs w:val="24"/>
        </w:rPr>
        <w:t xml:space="preserve">. </w:t>
      </w:r>
    </w:p>
    <w:p w:rsidR="00841656" w:rsidRPr="00655825" w:rsidRDefault="00841656" w:rsidP="00DC14C6">
      <w:pPr>
        <w:pStyle w:val="Header"/>
        <w:rPr>
          <w:sz w:val="24"/>
          <w:szCs w:val="24"/>
        </w:rPr>
      </w:pPr>
    </w:p>
    <w:p w:rsidR="00841656" w:rsidRPr="00655825" w:rsidRDefault="00841656" w:rsidP="00DC14C6">
      <w:pPr>
        <w:pStyle w:val="Header"/>
        <w:rPr>
          <w:sz w:val="24"/>
          <w:szCs w:val="24"/>
        </w:rPr>
      </w:pPr>
    </w:p>
    <w:p w:rsidR="00841656" w:rsidRDefault="00EC2040" w:rsidP="00BF7677">
      <w:pPr>
        <w:pStyle w:val="Header"/>
        <w:tabs>
          <w:tab w:val="clear" w:pos="4320"/>
          <w:tab w:val="left" w:pos="5760"/>
          <w:tab w:val="center" w:pos="10080"/>
        </w:tabs>
        <w:rPr>
          <w:sz w:val="24"/>
          <w:szCs w:val="24"/>
        </w:rPr>
      </w:pPr>
      <w:r>
        <w:rPr>
          <w:sz w:val="24"/>
          <w:szCs w:val="24"/>
        </w:rPr>
        <w:t>Best Regards,</w:t>
      </w:r>
      <w:r w:rsidR="00BF7677">
        <w:rPr>
          <w:sz w:val="24"/>
          <w:szCs w:val="24"/>
        </w:rPr>
        <w:tab/>
        <w:t>Sincerely,</w:t>
      </w:r>
      <w:r w:rsidR="00BF7677">
        <w:rPr>
          <w:sz w:val="24"/>
          <w:szCs w:val="24"/>
        </w:rPr>
        <w:tab/>
      </w:r>
      <w:r w:rsidR="00BF7677">
        <w:rPr>
          <w:sz w:val="24"/>
          <w:szCs w:val="24"/>
        </w:rPr>
        <w:tab/>
      </w:r>
    </w:p>
    <w:p w:rsidR="00EC2040" w:rsidRDefault="004E70FC" w:rsidP="004E70FC">
      <w:pPr>
        <w:pStyle w:val="Header"/>
        <w:tabs>
          <w:tab w:val="clear" w:pos="4320"/>
          <w:tab w:val="clear" w:pos="86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1656" w:rsidRPr="00655825" w:rsidRDefault="00FD6424" w:rsidP="00625E66">
      <w:pPr>
        <w:pStyle w:val="Header"/>
        <w:tabs>
          <w:tab w:val="clear" w:pos="4320"/>
          <w:tab w:val="clear" w:pos="8640"/>
          <w:tab w:val="left" w:pos="5085"/>
        </w:tabs>
        <w:rPr>
          <w:sz w:val="24"/>
          <w:szCs w:val="24"/>
        </w:rPr>
      </w:pPr>
      <w:r w:rsidRPr="00FD6424"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685800" y="403860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419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E66">
        <w:rPr>
          <w:sz w:val="24"/>
          <w:szCs w:val="24"/>
        </w:rPr>
        <w:tab/>
      </w:r>
      <w:bookmarkStart w:id="0" w:name="_GoBack"/>
      <w:bookmarkEnd w:id="0"/>
      <w:r w:rsidR="00625E66">
        <w:rPr>
          <w:sz w:val="24"/>
          <w:szCs w:val="24"/>
        </w:rPr>
        <w:tab/>
      </w:r>
      <w:r w:rsidR="00625E66">
        <w:rPr>
          <w:noProof/>
        </w:rPr>
        <w:drawing>
          <wp:inline distT="0" distB="0" distL="0" distR="0" wp14:anchorId="3B40850A" wp14:editId="1CCDACE3">
            <wp:extent cx="1581150" cy="4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7915" cy="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E66">
        <w:rPr>
          <w:sz w:val="24"/>
          <w:szCs w:val="24"/>
        </w:rPr>
        <w:br w:type="textWrapping" w:clear="all"/>
      </w:r>
    </w:p>
    <w:p w:rsidR="00DB596F" w:rsidRPr="00655825" w:rsidRDefault="00DB596F" w:rsidP="00BF7677">
      <w:pPr>
        <w:pStyle w:val="Header"/>
        <w:tabs>
          <w:tab w:val="left" w:pos="5760"/>
          <w:tab w:val="left" w:pos="5850"/>
        </w:tabs>
        <w:rPr>
          <w:sz w:val="24"/>
          <w:szCs w:val="24"/>
        </w:rPr>
      </w:pPr>
      <w:r w:rsidRPr="00655825">
        <w:rPr>
          <w:sz w:val="24"/>
          <w:szCs w:val="24"/>
        </w:rPr>
        <w:t>Alyson Brunelli, Engineer</w:t>
      </w:r>
      <w:r w:rsidR="00BF7677">
        <w:rPr>
          <w:sz w:val="24"/>
          <w:szCs w:val="24"/>
        </w:rPr>
        <w:tab/>
      </w:r>
      <w:r w:rsidR="00BF7677">
        <w:rPr>
          <w:sz w:val="24"/>
          <w:szCs w:val="24"/>
        </w:rPr>
        <w:tab/>
        <w:t>Dean Huff, Chief Financial Officer</w:t>
      </w:r>
    </w:p>
    <w:p w:rsidR="00DB596F" w:rsidRPr="00655825" w:rsidRDefault="00195D77" w:rsidP="00256AEC">
      <w:pPr>
        <w:pStyle w:val="Header"/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RI DEM</w:t>
      </w:r>
      <w:r w:rsidR="00256AEC">
        <w:rPr>
          <w:sz w:val="24"/>
          <w:szCs w:val="24"/>
        </w:rPr>
        <w:tab/>
      </w:r>
      <w:r w:rsidR="00256AEC">
        <w:rPr>
          <w:sz w:val="24"/>
          <w:szCs w:val="24"/>
        </w:rPr>
        <w:tab/>
        <w:t>RIRRC</w:t>
      </w:r>
      <w:r w:rsidR="00256AEC">
        <w:rPr>
          <w:sz w:val="24"/>
          <w:szCs w:val="24"/>
        </w:rPr>
        <w:tab/>
      </w:r>
    </w:p>
    <w:p w:rsidR="00DC14C6" w:rsidRPr="00655825" w:rsidRDefault="00DC14C6" w:rsidP="00DC14C6">
      <w:pPr>
        <w:pStyle w:val="Header"/>
        <w:rPr>
          <w:b/>
          <w:smallCaps/>
          <w:sz w:val="24"/>
          <w:szCs w:val="24"/>
        </w:rPr>
      </w:pPr>
    </w:p>
    <w:p w:rsidR="00E53EFC" w:rsidRPr="00655825" w:rsidRDefault="00E53EFC" w:rsidP="00D1170C">
      <w:pPr>
        <w:jc w:val="center"/>
        <w:rPr>
          <w:rFonts w:ascii="Candara" w:hAnsi="Candara" w:cs="Arial"/>
          <w:color w:val="0070C0"/>
          <w:sz w:val="24"/>
          <w:szCs w:val="24"/>
        </w:rPr>
      </w:pPr>
    </w:p>
    <w:sectPr w:rsidR="00E53EFC" w:rsidRPr="00655825" w:rsidSect="00A64E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0" w:rsidRDefault="00ED52B0">
      <w:r>
        <w:separator/>
      </w:r>
    </w:p>
  </w:endnote>
  <w:endnote w:type="continuationSeparator" w:id="0">
    <w:p w:rsidR="00ED52B0" w:rsidRDefault="00E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>
    <w:pPr>
      <w:pStyle w:val="Footer"/>
      <w:jc w:val="center"/>
    </w:pPr>
    <w:r>
      <w:rPr>
        <w:color w:val="008000"/>
      </w:rPr>
      <w:t xml:space="preserve">Telecommunication Device for the Deaf (401)831-5508 </w:t>
    </w:r>
    <w:r>
      <w:rPr>
        <w:color w:val="008000"/>
      </w:rPr>
      <w:br/>
      <w:t xml:space="preserve">Printed on a Renewable </w:t>
    </w:r>
    <w:smartTag w:uri="urn:schemas-microsoft-com:office:smarttags" w:element="PostalCode">
      <w:r>
        <w:rPr>
          <w:color w:val="008000"/>
        </w:rPr>
        <w:t>Forest</w:t>
      </w:r>
    </w:smartTag>
    <w:r>
      <w:rPr>
        <w:color w:val="008000"/>
      </w:rPr>
      <w:t xml:space="preserve"> Product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Pr="000A7A29" w:rsidRDefault="00ED52B0" w:rsidP="008A3D83">
    <w:pPr>
      <w:pStyle w:val="Footer"/>
      <w:jc w:val="center"/>
      <w:rPr>
        <w:b/>
      </w:rPr>
    </w:pPr>
    <w:r w:rsidRPr="000A7A29">
      <w:rPr>
        <w:rFonts w:ascii="Candara" w:hAnsi="Candara"/>
        <w:b/>
        <w:color w:val="0070C0"/>
        <w:sz w:val="24"/>
        <w:szCs w:val="24"/>
      </w:rPr>
      <w:t>Telephone 401.222.4700 | www.dem.ri.gov | Rhode Island Relay 711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0" w:rsidRDefault="00ED52B0">
      <w:r>
        <w:separator/>
      </w:r>
    </w:p>
  </w:footnote>
  <w:footnote w:type="continuationSeparator" w:id="0">
    <w:p w:rsidR="00ED52B0" w:rsidRDefault="00ED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687"/>
    <w:multiLevelType w:val="hybridMultilevel"/>
    <w:tmpl w:val="4DD8E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03627"/>
    <w:multiLevelType w:val="hybridMultilevel"/>
    <w:tmpl w:val="51769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275D5"/>
    <w:multiLevelType w:val="hybridMultilevel"/>
    <w:tmpl w:val="985CA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624F2"/>
    <w:multiLevelType w:val="hybridMultilevel"/>
    <w:tmpl w:val="3988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2D24"/>
    <w:multiLevelType w:val="hybridMultilevel"/>
    <w:tmpl w:val="E25A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B4946"/>
    <w:multiLevelType w:val="hybridMultilevel"/>
    <w:tmpl w:val="94F06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FB2"/>
    <w:multiLevelType w:val="hybridMultilevel"/>
    <w:tmpl w:val="39BC4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25114"/>
    <w:multiLevelType w:val="multilevel"/>
    <w:tmpl w:val="484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321DD"/>
    <w:multiLevelType w:val="hybridMultilevel"/>
    <w:tmpl w:val="A86A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42399"/>
    <w:multiLevelType w:val="hybridMultilevel"/>
    <w:tmpl w:val="D798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9AA"/>
    <w:multiLevelType w:val="hybridMultilevel"/>
    <w:tmpl w:val="BDB0A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4693"/>
    <w:multiLevelType w:val="hybridMultilevel"/>
    <w:tmpl w:val="8CD8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F5E23"/>
    <w:multiLevelType w:val="hybridMultilevel"/>
    <w:tmpl w:val="7C8476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71327"/>
    <w:multiLevelType w:val="hybridMultilevel"/>
    <w:tmpl w:val="C40A61C8"/>
    <w:lvl w:ilvl="0" w:tplc="92AE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30E79"/>
    <w:multiLevelType w:val="multilevel"/>
    <w:tmpl w:val="CE9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15489"/>
    <w:multiLevelType w:val="multilevel"/>
    <w:tmpl w:val="B60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75DD3"/>
    <w:multiLevelType w:val="hybridMultilevel"/>
    <w:tmpl w:val="A7F63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552F29"/>
    <w:multiLevelType w:val="hybridMultilevel"/>
    <w:tmpl w:val="C868D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1617"/>
    <w:multiLevelType w:val="hybridMultilevel"/>
    <w:tmpl w:val="B108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3E67B3"/>
    <w:multiLevelType w:val="hybridMultilevel"/>
    <w:tmpl w:val="4B2E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D133B"/>
    <w:multiLevelType w:val="hybridMultilevel"/>
    <w:tmpl w:val="33802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C24824"/>
    <w:multiLevelType w:val="hybridMultilevel"/>
    <w:tmpl w:val="49E4330C"/>
    <w:lvl w:ilvl="0" w:tplc="C4CE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21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8"/>
  </w:num>
  <w:num w:numId="13">
    <w:abstractNumId w:val="5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6"/>
  </w:num>
  <w:num w:numId="19">
    <w:abstractNumId w:val="0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6"/>
    <w:rsid w:val="000061D4"/>
    <w:rsid w:val="00010256"/>
    <w:rsid w:val="00021E70"/>
    <w:rsid w:val="00040161"/>
    <w:rsid w:val="00052DAA"/>
    <w:rsid w:val="00061DBD"/>
    <w:rsid w:val="000A0ECB"/>
    <w:rsid w:val="000A7A29"/>
    <w:rsid w:val="000B4E5A"/>
    <w:rsid w:val="000C17A6"/>
    <w:rsid w:val="000D121A"/>
    <w:rsid w:val="000E3600"/>
    <w:rsid w:val="001146D5"/>
    <w:rsid w:val="00123112"/>
    <w:rsid w:val="00141345"/>
    <w:rsid w:val="00145D92"/>
    <w:rsid w:val="00180C28"/>
    <w:rsid w:val="00195D77"/>
    <w:rsid w:val="001C219A"/>
    <w:rsid w:val="001C5064"/>
    <w:rsid w:val="001D7B79"/>
    <w:rsid w:val="001E4BB6"/>
    <w:rsid w:val="001E4BBC"/>
    <w:rsid w:val="001F512C"/>
    <w:rsid w:val="002166B9"/>
    <w:rsid w:val="002432A4"/>
    <w:rsid w:val="0024720C"/>
    <w:rsid w:val="00256AEC"/>
    <w:rsid w:val="00267B1A"/>
    <w:rsid w:val="00271AB8"/>
    <w:rsid w:val="002B057B"/>
    <w:rsid w:val="002C0CA6"/>
    <w:rsid w:val="002D708E"/>
    <w:rsid w:val="0031095F"/>
    <w:rsid w:val="00312440"/>
    <w:rsid w:val="0032667F"/>
    <w:rsid w:val="00326AA4"/>
    <w:rsid w:val="003436C1"/>
    <w:rsid w:val="003546CA"/>
    <w:rsid w:val="00354C3A"/>
    <w:rsid w:val="00386AC7"/>
    <w:rsid w:val="003B3D81"/>
    <w:rsid w:val="003D3696"/>
    <w:rsid w:val="003D6180"/>
    <w:rsid w:val="003E6120"/>
    <w:rsid w:val="0042413A"/>
    <w:rsid w:val="00424C4B"/>
    <w:rsid w:val="004358D7"/>
    <w:rsid w:val="004439FC"/>
    <w:rsid w:val="0045737A"/>
    <w:rsid w:val="00470508"/>
    <w:rsid w:val="00477D33"/>
    <w:rsid w:val="004A3267"/>
    <w:rsid w:val="004B6A61"/>
    <w:rsid w:val="004D2F7C"/>
    <w:rsid w:val="004E70FC"/>
    <w:rsid w:val="004E7B39"/>
    <w:rsid w:val="00500213"/>
    <w:rsid w:val="00522E25"/>
    <w:rsid w:val="0052376E"/>
    <w:rsid w:val="0056312F"/>
    <w:rsid w:val="00573C3F"/>
    <w:rsid w:val="0059003B"/>
    <w:rsid w:val="005A73BD"/>
    <w:rsid w:val="005C5DE8"/>
    <w:rsid w:val="005C6A65"/>
    <w:rsid w:val="00600D94"/>
    <w:rsid w:val="00625E66"/>
    <w:rsid w:val="00642DC4"/>
    <w:rsid w:val="00644131"/>
    <w:rsid w:val="00655825"/>
    <w:rsid w:val="00656CAE"/>
    <w:rsid w:val="00670493"/>
    <w:rsid w:val="00682A67"/>
    <w:rsid w:val="00691A88"/>
    <w:rsid w:val="006B7663"/>
    <w:rsid w:val="006B7BC3"/>
    <w:rsid w:val="0071310D"/>
    <w:rsid w:val="00737179"/>
    <w:rsid w:val="0075109E"/>
    <w:rsid w:val="00756017"/>
    <w:rsid w:val="00775280"/>
    <w:rsid w:val="00795881"/>
    <w:rsid w:val="00796A10"/>
    <w:rsid w:val="007B0FA9"/>
    <w:rsid w:val="007E0A08"/>
    <w:rsid w:val="0080433D"/>
    <w:rsid w:val="008058C6"/>
    <w:rsid w:val="00813615"/>
    <w:rsid w:val="008363D7"/>
    <w:rsid w:val="00841656"/>
    <w:rsid w:val="00885E57"/>
    <w:rsid w:val="008A3D83"/>
    <w:rsid w:val="008B4921"/>
    <w:rsid w:val="008B6AD9"/>
    <w:rsid w:val="008C5309"/>
    <w:rsid w:val="008F2AD2"/>
    <w:rsid w:val="00905C45"/>
    <w:rsid w:val="00912900"/>
    <w:rsid w:val="009340A7"/>
    <w:rsid w:val="009355D5"/>
    <w:rsid w:val="00940E0B"/>
    <w:rsid w:val="009439AA"/>
    <w:rsid w:val="009514B7"/>
    <w:rsid w:val="00953271"/>
    <w:rsid w:val="0097068A"/>
    <w:rsid w:val="00992677"/>
    <w:rsid w:val="009A057F"/>
    <w:rsid w:val="009F6513"/>
    <w:rsid w:val="00A17CCD"/>
    <w:rsid w:val="00A234B8"/>
    <w:rsid w:val="00A26AB5"/>
    <w:rsid w:val="00A30528"/>
    <w:rsid w:val="00A3709D"/>
    <w:rsid w:val="00A41C99"/>
    <w:rsid w:val="00A64E4D"/>
    <w:rsid w:val="00AB1D09"/>
    <w:rsid w:val="00AC3133"/>
    <w:rsid w:val="00AC7930"/>
    <w:rsid w:val="00AD625C"/>
    <w:rsid w:val="00AE665A"/>
    <w:rsid w:val="00AF740B"/>
    <w:rsid w:val="00B2441F"/>
    <w:rsid w:val="00B26843"/>
    <w:rsid w:val="00B67345"/>
    <w:rsid w:val="00B70147"/>
    <w:rsid w:val="00B74848"/>
    <w:rsid w:val="00B86DA2"/>
    <w:rsid w:val="00B91049"/>
    <w:rsid w:val="00BC314F"/>
    <w:rsid w:val="00BE1B7F"/>
    <w:rsid w:val="00BF6DBB"/>
    <w:rsid w:val="00BF7677"/>
    <w:rsid w:val="00C064C3"/>
    <w:rsid w:val="00C1137F"/>
    <w:rsid w:val="00C553D2"/>
    <w:rsid w:val="00C62602"/>
    <w:rsid w:val="00C94F8C"/>
    <w:rsid w:val="00CA25EE"/>
    <w:rsid w:val="00CD4538"/>
    <w:rsid w:val="00CE677C"/>
    <w:rsid w:val="00CF7D5A"/>
    <w:rsid w:val="00D1170C"/>
    <w:rsid w:val="00D36474"/>
    <w:rsid w:val="00D44B0C"/>
    <w:rsid w:val="00D55BCB"/>
    <w:rsid w:val="00D72002"/>
    <w:rsid w:val="00DA1A3A"/>
    <w:rsid w:val="00DB596F"/>
    <w:rsid w:val="00DC14C6"/>
    <w:rsid w:val="00DD4692"/>
    <w:rsid w:val="00DE485B"/>
    <w:rsid w:val="00E04236"/>
    <w:rsid w:val="00E16AC5"/>
    <w:rsid w:val="00E2684A"/>
    <w:rsid w:val="00E4757A"/>
    <w:rsid w:val="00E53EFC"/>
    <w:rsid w:val="00E7446D"/>
    <w:rsid w:val="00E84DA1"/>
    <w:rsid w:val="00EA47AB"/>
    <w:rsid w:val="00EA61D3"/>
    <w:rsid w:val="00EC2040"/>
    <w:rsid w:val="00EC620B"/>
    <w:rsid w:val="00ED52B0"/>
    <w:rsid w:val="00EF520D"/>
    <w:rsid w:val="00EF5D80"/>
    <w:rsid w:val="00F07AE8"/>
    <w:rsid w:val="00F145BF"/>
    <w:rsid w:val="00F14AA4"/>
    <w:rsid w:val="00F2291E"/>
    <w:rsid w:val="00F425F5"/>
    <w:rsid w:val="00F4595F"/>
    <w:rsid w:val="00F46FDF"/>
    <w:rsid w:val="00F56D09"/>
    <w:rsid w:val="00F63005"/>
    <w:rsid w:val="00F6693C"/>
    <w:rsid w:val="00F7011E"/>
    <w:rsid w:val="00FA5BB0"/>
    <w:rsid w:val="00FB26C2"/>
    <w:rsid w:val="00FC7A23"/>
    <w:rsid w:val="00FD0CE5"/>
    <w:rsid w:val="00FD6424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4337"/>
    <o:shapelayout v:ext="edit">
      <o:idmap v:ext="edit" data="1"/>
    </o:shapelayout>
  </w:shapeDefaults>
  <w:decimalSymbol w:val="."/>
  <w:listSeparator w:val=","/>
  <w15:docId w15:val="{32286C82-2791-4296-AF16-1308BA7B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45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00D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ind w:left="270" w:hanging="270"/>
    </w:p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sz w:val="24"/>
    </w:rPr>
  </w:style>
  <w:style w:type="paragraph" w:styleId="Date">
    <w:name w:val="Date"/>
    <w:basedOn w:val="Normal"/>
    <w:next w:val="Normal"/>
    <w:rsid w:val="00691A88"/>
    <w:rPr>
      <w:sz w:val="24"/>
      <w:szCs w:val="24"/>
    </w:rPr>
  </w:style>
  <w:style w:type="paragraph" w:styleId="Signature">
    <w:name w:val="Signature"/>
    <w:basedOn w:val="Normal"/>
    <w:rsid w:val="00691A88"/>
    <w:rPr>
      <w:sz w:val="24"/>
      <w:szCs w:val="24"/>
    </w:rPr>
  </w:style>
  <w:style w:type="paragraph" w:styleId="BodyText">
    <w:name w:val="Body Text"/>
    <w:basedOn w:val="Normal"/>
    <w:rsid w:val="00691A88"/>
    <w:pPr>
      <w:spacing w:after="120"/>
    </w:pPr>
    <w:rPr>
      <w:sz w:val="24"/>
      <w:szCs w:val="24"/>
    </w:rPr>
  </w:style>
  <w:style w:type="paragraph" w:customStyle="1" w:styleId="InsideAddress">
    <w:name w:val="Inside Address"/>
    <w:basedOn w:val="Normal"/>
    <w:rsid w:val="00691A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485B"/>
  </w:style>
  <w:style w:type="character" w:styleId="Hyperlink">
    <w:name w:val="Hyperlink"/>
    <w:rsid w:val="004439FC"/>
    <w:rPr>
      <w:color w:val="0000FF"/>
      <w:u w:val="single"/>
    </w:rPr>
  </w:style>
  <w:style w:type="character" w:styleId="FollowedHyperlink">
    <w:name w:val="FollowedHyperlink"/>
    <w:rsid w:val="004439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667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63D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6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1A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yson.brunelli@dem.ri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huff@rirrc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erver.rilin.state.ri.us/Statutes/TITLE23/23-24.10/INDEX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rirrc.org/questions/e-wast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9B9E-B8E2-44AB-A4E3-3A1B757E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2003</vt:lpstr>
    </vt:vector>
  </TitlesOfParts>
  <Company>Forestry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2003</dc:title>
  <dc:creator>Tom Dupree</dc:creator>
  <cp:lastModifiedBy>Dean Huff</cp:lastModifiedBy>
  <cp:revision>2</cp:revision>
  <cp:lastPrinted>2018-08-22T16:19:00Z</cp:lastPrinted>
  <dcterms:created xsi:type="dcterms:W3CDTF">2018-08-23T17:15:00Z</dcterms:created>
  <dcterms:modified xsi:type="dcterms:W3CDTF">2018-08-23T17:15:00Z</dcterms:modified>
</cp:coreProperties>
</file>